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001-41425</w:t>
      </w:r>
    </w:p>
    <w:p>
      <w:pPr>
        <w:spacing w:after="0" w:line="250" w:lineRule="exact"/>
        <w:rPr>
          <w:sz w:val="24"/>
          <w:szCs w:val="24"/>
          <w:color w:val="auto"/>
        </w:rPr>
      </w:pPr>
    </w:p>
    <w:p>
      <w:pPr>
        <w:ind w:left="4660"/>
        <w:spacing w:after="0" w:line="206" w:lineRule="exact"/>
        <w:rPr>
          <w:sz w:val="20"/>
          <w:szCs w:val="20"/>
          <w:color w:val="auto"/>
        </w:rPr>
      </w:pPr>
      <w:r>
        <w:rPr>
          <w:rFonts w:ascii="SimSun" w:cs="SimSun" w:eastAsia="SimSun" w:hAnsi="SimSun"/>
          <w:sz w:val="18"/>
          <w:szCs w:val="18"/>
          <w:color w:val="auto"/>
        </w:rPr>
        <w:t>金太阳科技集团有限公司</w:t>
      </w:r>
    </w:p>
    <w:p>
      <w:pPr>
        <w:spacing w:after="0" w:line="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Golden Sun Technology Group Limited</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503, Building C2, No. 1599</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Xinjinqiao Road, Pudong New Area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Shanghai, China</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color w:val="auto"/>
        </w:rPr>
        <w:t>On April 13, 2026, Golden Sun Technology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received a deficiency notice (the “</w:t>
      </w:r>
      <w:r>
        <w:rPr>
          <w:rFonts w:ascii="Times New Roman" w:cs="Times New Roman" w:eastAsia="Times New Roman" w:hAnsi="Times New Roman"/>
          <w:sz w:val="18"/>
          <w:szCs w:val="18"/>
          <w:b w:val="1"/>
          <w:bCs w:val="1"/>
          <w:color w:val="auto"/>
        </w:rPr>
        <w:t>Notification Letter</w:t>
      </w:r>
      <w:r>
        <w:rPr>
          <w:rFonts w:ascii="Times New Roman" w:cs="Times New Roman" w:eastAsia="Times New Roman" w:hAnsi="Times New Roman"/>
          <w:sz w:val="18"/>
          <w:szCs w:val="18"/>
          <w:color w:val="auto"/>
        </w:rPr>
        <w:t>”) from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informing the Company that its Class A ordinary shares failed to maintain a minimum bid price of $1.00 per share over the last 30 consecutive business days as required by the Listing Rules 5550(a)(2) of the NASDAQ. The Notification Letter does not impact the Company’s listing on the Nasdaq Capital Market at this time.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180 calendar days, or until October 12, 2026 (the “</w:t>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to regain compliance with Nasdaq Listing Rule 5550(a)(2). To regain compliance, the Company’s Class A ordinary shares must have a closing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of at least US$1.00 for a minimum of 10 consecutive business days, and must not have a closing bid price of $0.10 or less for over 10 consecutive trading days by the Compliance Date. In the event the Company does not regain compliance by the Compliance Date, the Company may be eligible for additional time to regain compliance or may face delisting.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as set forth in Nasdaq Listing Rule 5550(a)(2) by the Compliance Date and is not eligible for an additional compliance period at that time, the Staff will provide written notification to the Company that its Class A ordinary shares may be delisted. The Company would then be entitled to appeal the Staff’s determination to a NASDAQ Listing Qualifications Panel and request a hearing. There can be no assurance that, if the Company does appeal the delisting determination by the Staff to the NASDAQ Listing Qualifications Panel, that such appeal would be successful.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Class A ordinary shares and may, if appropriate, consider available options to regain compliance with the minimum bid price requirement, which could include effecting a reverse stock split. However, there can be no assurance that the Company will be able to regain compliance with the minimum bid price requirement.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16,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Golden Sun Technology Group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Xueyuan Weng</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Xueyuan Weng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panose1 w:val="02010600030101010101"/>
    <w:charset w:val="86"/>
    <w:family w:val="auto"/>
    <w:pitch w:val="variable"/>
    <w:sig w:usb0="00000003" w:usb1="288F0000" w:usb2="00000006" w:usb3="00000000" w:csb0="00040001"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2026-04-16T15:13:12Z</dcterms:created>
  <dcterms:modified xsi:type="dcterms:W3CDTF">2026-04-16T15:13:12Z</dcterms:modified>
</cp:coreProperties>
</file>